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8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404D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0725" cy="901578"/>
            <wp:effectExtent l="19050" t="0" r="3175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D8" w:rsidRPr="00D4714D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2404D8" w:rsidRPr="00D4714D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/>
          <w:bCs/>
          <w:kern w:val="28"/>
          <w:sz w:val="28"/>
          <w:szCs w:val="28"/>
        </w:rPr>
        <w:t>МОНАСТЫРЩИНСКОГО  СЕЛЬСКОГО  ПОСЕЛЕНИЯ</w:t>
      </w:r>
    </w:p>
    <w:p w:rsidR="002404D8" w:rsidRPr="00D4714D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/>
          <w:bCs/>
          <w:kern w:val="28"/>
          <w:sz w:val="28"/>
          <w:szCs w:val="28"/>
        </w:rPr>
        <w:t>БОГУЧАРСКОГО  МУНИЦИПАЛЬНОГО РАЙОНА</w:t>
      </w:r>
    </w:p>
    <w:p w:rsidR="002404D8" w:rsidRPr="00D4714D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p w:rsidR="002404D8" w:rsidRPr="00D4714D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/>
          <w:bCs/>
          <w:kern w:val="28"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2404D8" w:rsidRDefault="005E1F5B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«31</w:t>
      </w:r>
      <w:r w:rsidR="002404D8" w:rsidRPr="00D4714D">
        <w:rPr>
          <w:rFonts w:ascii="Times New Roman" w:hAnsi="Times New Roman"/>
          <w:bCs/>
          <w:kern w:val="28"/>
          <w:sz w:val="28"/>
          <w:szCs w:val="28"/>
        </w:rPr>
        <w:t>» августа 2023 года  № 3</w:t>
      </w:r>
      <w:r>
        <w:rPr>
          <w:rFonts w:ascii="Times New Roman" w:hAnsi="Times New Roman"/>
          <w:bCs/>
          <w:kern w:val="28"/>
          <w:sz w:val="28"/>
          <w:szCs w:val="28"/>
        </w:rPr>
        <w:t>2</w:t>
      </w:r>
    </w:p>
    <w:p w:rsidR="002404D8" w:rsidRPr="002404D8" w:rsidRDefault="002404D8" w:rsidP="002404D8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D4714D">
        <w:rPr>
          <w:rFonts w:ascii="Times New Roman" w:hAnsi="Times New Roman"/>
          <w:bCs/>
          <w:kern w:val="28"/>
          <w:sz w:val="28"/>
          <w:szCs w:val="28"/>
        </w:rPr>
        <w:t>с</w:t>
      </w:r>
      <w:proofErr w:type="gramStart"/>
      <w:r w:rsidRPr="00D4714D">
        <w:rPr>
          <w:rFonts w:ascii="Times New Roman" w:hAnsi="Times New Roman"/>
          <w:bCs/>
          <w:kern w:val="28"/>
          <w:sz w:val="28"/>
          <w:szCs w:val="28"/>
        </w:rPr>
        <w:t>.М</w:t>
      </w:r>
      <w:proofErr w:type="gramEnd"/>
      <w:r w:rsidRPr="00D4714D">
        <w:rPr>
          <w:rFonts w:ascii="Times New Roman" w:hAnsi="Times New Roman"/>
          <w:bCs/>
          <w:kern w:val="28"/>
          <w:sz w:val="28"/>
          <w:szCs w:val="28"/>
        </w:rPr>
        <w:t>онастырщина</w:t>
      </w: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0F8F" w:rsidRPr="005E552B" w:rsidRDefault="000A0F8F" w:rsidP="00590A90">
      <w:pPr>
        <w:pStyle w:val="Title"/>
        <w:spacing w:before="0" w:after="0"/>
        <w:ind w:right="5018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E55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56CC">
        <w:rPr>
          <w:rFonts w:ascii="Times New Roman" w:hAnsi="Times New Roman" w:cs="Times New Roman"/>
          <w:sz w:val="28"/>
          <w:szCs w:val="28"/>
        </w:rPr>
        <w:t>а</w:t>
      </w:r>
      <w:r w:rsidRPr="005E552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="002404D8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2404D8">
        <w:rPr>
          <w:rFonts w:ascii="Times New Roman" w:hAnsi="Times New Roman" w:cs="Times New Roman"/>
          <w:sz w:val="28"/>
          <w:szCs w:val="28"/>
        </w:rPr>
        <w:t xml:space="preserve"> </w:t>
      </w:r>
      <w:r w:rsidRPr="005E55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E552B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E552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A0F8F" w:rsidRDefault="000A0F8F" w:rsidP="000A0F8F">
      <w:pPr>
        <w:rPr>
          <w:rFonts w:ascii="Times New Roman" w:hAnsi="Times New Roman"/>
          <w:sz w:val="28"/>
          <w:szCs w:val="28"/>
        </w:rPr>
      </w:pPr>
    </w:p>
    <w:p w:rsidR="00CD2D55" w:rsidRPr="005D0D76" w:rsidRDefault="001756CC" w:rsidP="001756CC">
      <w:pPr>
        <w:pStyle w:val="Title"/>
        <w:tabs>
          <w:tab w:val="left" w:pos="0"/>
        </w:tabs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2D55" w:rsidRDefault="00CD2D55" w:rsidP="003D546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</w:t>
      </w:r>
      <w:proofErr w:type="gramStart"/>
      <w:r w:rsidRPr="005D0D76">
        <w:t>Об</w:t>
      </w:r>
      <w:proofErr w:type="gramEnd"/>
      <w:r w:rsidRPr="005D0D76">
        <w:t xml:space="preserve">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3D5464">
        <w:t xml:space="preserve">ерации», Уставом </w:t>
      </w:r>
      <w:r w:rsidRPr="005D0D76">
        <w:t xml:space="preserve"> </w:t>
      </w:r>
      <w:proofErr w:type="spellStart"/>
      <w:r w:rsidR="002404D8">
        <w:t>Монастырщинского</w:t>
      </w:r>
      <w:proofErr w:type="spellEnd"/>
      <w:r w:rsidR="003D5464">
        <w:t xml:space="preserve"> сельского поселения </w:t>
      </w:r>
      <w:proofErr w:type="spellStart"/>
      <w:r w:rsidR="003D5464">
        <w:t>Богучарского</w:t>
      </w:r>
      <w:proofErr w:type="spellEnd"/>
      <w:r w:rsidR="003D5464">
        <w:t xml:space="preserve"> муниципального района Воронежской области, </w:t>
      </w:r>
      <w:r w:rsidRPr="005D0D76">
        <w:t xml:space="preserve">администрация </w:t>
      </w:r>
      <w:proofErr w:type="spellStart"/>
      <w:r w:rsidR="002404D8">
        <w:t>Монастырщинского</w:t>
      </w:r>
      <w:proofErr w:type="spellEnd"/>
      <w:r w:rsidR="003D5464">
        <w:t xml:space="preserve"> сельского поселения</w:t>
      </w:r>
      <w:r w:rsidR="00FA2C73">
        <w:t xml:space="preserve">                 </w:t>
      </w:r>
      <w:r w:rsidR="003D5464">
        <w:t xml:space="preserve"> </w:t>
      </w:r>
      <w:proofErr w:type="spellStart"/>
      <w:proofErr w:type="gramStart"/>
      <w:r w:rsidR="003D5464" w:rsidRPr="003D5464">
        <w:rPr>
          <w:b/>
        </w:rPr>
        <w:t>п</w:t>
      </w:r>
      <w:proofErr w:type="spellEnd"/>
      <w:proofErr w:type="gramEnd"/>
      <w:r w:rsidR="00E05DF8">
        <w:rPr>
          <w:b/>
        </w:rPr>
        <w:t xml:space="preserve"> </w:t>
      </w:r>
      <w:r w:rsidR="003D5464" w:rsidRPr="003D5464">
        <w:rPr>
          <w:b/>
        </w:rPr>
        <w:t>о</w:t>
      </w:r>
      <w:r w:rsidR="00E05DF8">
        <w:rPr>
          <w:b/>
        </w:rPr>
        <w:t xml:space="preserve"> </w:t>
      </w:r>
      <w:r w:rsidR="003D5464" w:rsidRPr="003D5464">
        <w:rPr>
          <w:b/>
        </w:rPr>
        <w:t>с</w:t>
      </w:r>
      <w:r w:rsidR="00E05DF8">
        <w:rPr>
          <w:b/>
        </w:rPr>
        <w:t xml:space="preserve"> </w:t>
      </w:r>
      <w:r w:rsidR="003D5464" w:rsidRPr="003D5464">
        <w:rPr>
          <w:b/>
        </w:rPr>
        <w:t>т</w:t>
      </w:r>
      <w:r w:rsidR="00E05DF8">
        <w:rPr>
          <w:b/>
        </w:rPr>
        <w:t xml:space="preserve"> </w:t>
      </w:r>
      <w:r w:rsidR="003D5464" w:rsidRPr="003D5464">
        <w:rPr>
          <w:b/>
        </w:rPr>
        <w:t>а</w:t>
      </w:r>
      <w:r w:rsidR="00E05DF8">
        <w:rPr>
          <w:b/>
        </w:rPr>
        <w:t xml:space="preserve"> </w:t>
      </w:r>
      <w:proofErr w:type="spellStart"/>
      <w:r w:rsidR="003D5464" w:rsidRPr="003D5464">
        <w:rPr>
          <w:b/>
        </w:rPr>
        <w:t>н</w:t>
      </w:r>
      <w:proofErr w:type="spellEnd"/>
      <w:r w:rsidR="00E05DF8">
        <w:rPr>
          <w:b/>
        </w:rPr>
        <w:t xml:space="preserve"> </w:t>
      </w:r>
      <w:r w:rsidR="003D5464" w:rsidRPr="003D5464">
        <w:rPr>
          <w:b/>
        </w:rPr>
        <w:t>о</w:t>
      </w:r>
      <w:r w:rsidR="00E05DF8">
        <w:rPr>
          <w:b/>
        </w:rPr>
        <w:t xml:space="preserve"> </w:t>
      </w:r>
      <w:r w:rsidR="003D5464" w:rsidRPr="003D5464">
        <w:rPr>
          <w:b/>
        </w:rPr>
        <w:t>в</w:t>
      </w:r>
      <w:r w:rsidR="00E05DF8">
        <w:rPr>
          <w:b/>
        </w:rPr>
        <w:t xml:space="preserve"> </w:t>
      </w:r>
      <w:r w:rsidR="003D5464" w:rsidRPr="003D5464">
        <w:rPr>
          <w:b/>
        </w:rPr>
        <w:t>л</w:t>
      </w:r>
      <w:r w:rsidR="00E05DF8">
        <w:rPr>
          <w:b/>
        </w:rPr>
        <w:t xml:space="preserve"> </w:t>
      </w:r>
      <w:r w:rsidR="003D5464" w:rsidRPr="003D5464">
        <w:rPr>
          <w:b/>
        </w:rPr>
        <w:t>я</w:t>
      </w:r>
      <w:r w:rsidR="00E05DF8">
        <w:rPr>
          <w:b/>
        </w:rPr>
        <w:t xml:space="preserve"> </w:t>
      </w:r>
      <w:r w:rsidR="003D5464" w:rsidRPr="003D5464">
        <w:rPr>
          <w:b/>
        </w:rPr>
        <w:t>е</w:t>
      </w:r>
      <w:r w:rsidR="00E05DF8">
        <w:rPr>
          <w:b/>
        </w:rPr>
        <w:t xml:space="preserve"> </w:t>
      </w:r>
      <w:r w:rsidR="003D5464" w:rsidRPr="003D5464">
        <w:rPr>
          <w:b/>
        </w:rPr>
        <w:t>т:</w:t>
      </w:r>
    </w:p>
    <w:p w:rsidR="00CD2D55" w:rsidRPr="005D0D76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proofErr w:type="spellStart"/>
      <w:r w:rsidR="002404D8">
        <w:t>Монастырщинского</w:t>
      </w:r>
      <w:proofErr w:type="spellEnd"/>
      <w:r w:rsidR="00C271C1">
        <w:t xml:space="preserve"> сельского поселения </w:t>
      </w:r>
      <w:proofErr w:type="spellStart"/>
      <w:r w:rsidR="00C271C1">
        <w:t>Богучарского</w:t>
      </w:r>
      <w:proofErr w:type="spellEnd"/>
      <w:r w:rsidR="00C271C1">
        <w:t xml:space="preserve"> муниципального района Воронежской </w:t>
      </w:r>
      <w:r w:rsidR="00C271C1">
        <w:lastRenderedPageBreak/>
        <w:t>области</w:t>
      </w:r>
      <w:r w:rsidR="00C271C1" w:rsidRPr="005D0D76">
        <w:t xml:space="preserve"> </w:t>
      </w:r>
      <w:r w:rsidRPr="005D0D76">
        <w:t>согласно приложению к настоящему постановлению.</w:t>
      </w:r>
    </w:p>
    <w:p w:rsidR="001756CC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2. Признать утратившим</w:t>
      </w:r>
      <w:r w:rsidR="00D67456">
        <w:rPr>
          <w:rFonts w:ascii="Times New Roman" w:hAnsi="Times New Roman"/>
          <w:sz w:val="28"/>
          <w:szCs w:val="28"/>
        </w:rPr>
        <w:t xml:space="preserve"> силу </w:t>
      </w:r>
      <w:r w:rsidRPr="005D0D76">
        <w:rPr>
          <w:rFonts w:ascii="Times New Roman" w:hAnsi="Times New Roman"/>
          <w:sz w:val="28"/>
          <w:szCs w:val="28"/>
        </w:rPr>
        <w:t xml:space="preserve"> </w:t>
      </w:r>
      <w:r w:rsidR="001756CC">
        <w:rPr>
          <w:rFonts w:ascii="Times New Roman" w:hAnsi="Times New Roman"/>
          <w:sz w:val="28"/>
          <w:szCs w:val="28"/>
        </w:rPr>
        <w:t xml:space="preserve">постановление </w:t>
      </w:r>
      <w:r w:rsidRPr="005D0D7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404D8" w:rsidRPr="002404D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C271C1" w:rsidRPr="00C271C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271C1" w:rsidRPr="00C271C1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C271C1" w:rsidRPr="00C271C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756CC">
        <w:rPr>
          <w:rFonts w:ascii="Times New Roman" w:hAnsi="Times New Roman"/>
          <w:sz w:val="28"/>
          <w:szCs w:val="28"/>
        </w:rPr>
        <w:t xml:space="preserve"> </w:t>
      </w:r>
      <w:r w:rsidR="00286EF1">
        <w:rPr>
          <w:rFonts w:ascii="Times New Roman" w:hAnsi="Times New Roman"/>
          <w:sz w:val="28"/>
          <w:szCs w:val="28"/>
        </w:rPr>
        <w:t xml:space="preserve">от </w:t>
      </w:r>
      <w:r w:rsidR="00F81205">
        <w:rPr>
          <w:rFonts w:ascii="Times New Roman" w:hAnsi="Times New Roman"/>
          <w:sz w:val="28"/>
          <w:szCs w:val="28"/>
        </w:rPr>
        <w:t>12.12.2022</w:t>
      </w:r>
      <w:r w:rsidR="00286EF1">
        <w:rPr>
          <w:rFonts w:ascii="Times New Roman" w:hAnsi="Times New Roman"/>
          <w:sz w:val="28"/>
          <w:szCs w:val="28"/>
        </w:rPr>
        <w:t xml:space="preserve"> № 42</w:t>
      </w:r>
      <w:r w:rsidRPr="005D0D76">
        <w:rPr>
          <w:rFonts w:ascii="Times New Roman" w:hAnsi="Times New Roman"/>
          <w:sz w:val="28"/>
          <w:szCs w:val="28"/>
        </w:rPr>
        <w:t xml:space="preserve"> «</w:t>
      </w:r>
      <w:r w:rsidR="00D10305" w:rsidRPr="00B71311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 предоставлению муниципальной</w:t>
      </w:r>
      <w:r w:rsidR="00D10305" w:rsidRPr="00B71311">
        <w:rPr>
          <w:rFonts w:ascii="Times New Roman" w:hAnsi="Times New Roman"/>
          <w:sz w:val="28"/>
          <w:szCs w:val="28"/>
        </w:rPr>
        <w:t xml:space="preserve"> </w:t>
      </w:r>
      <w:r w:rsidR="00D10305" w:rsidRPr="00B71311">
        <w:rPr>
          <w:rFonts w:ascii="Times New Roman" w:eastAsia="Calibri" w:hAnsi="Times New Roman"/>
          <w:sz w:val="28"/>
          <w:szCs w:val="28"/>
        </w:rPr>
        <w:t xml:space="preserve">услуги </w:t>
      </w:r>
      <w:r w:rsidR="00D10305" w:rsidRPr="00B71311">
        <w:rPr>
          <w:rFonts w:ascii="Times New Roman" w:hAnsi="Times New Roman"/>
          <w:sz w:val="28"/>
          <w:szCs w:val="28"/>
        </w:rPr>
        <w:t>«Предоставление сведений из р</w:t>
      </w:r>
      <w:r w:rsidR="00D10305">
        <w:rPr>
          <w:rFonts w:ascii="Times New Roman" w:hAnsi="Times New Roman"/>
          <w:sz w:val="28"/>
          <w:szCs w:val="28"/>
        </w:rPr>
        <w:t>еестра муниципального имущества</w:t>
      </w:r>
      <w:r w:rsidR="00CB3ED7" w:rsidRPr="005D0D76">
        <w:rPr>
          <w:rFonts w:ascii="Times New Roman" w:hAnsi="Times New Roman"/>
          <w:sz w:val="28"/>
          <w:szCs w:val="28"/>
        </w:rPr>
        <w:t>»</w:t>
      </w:r>
      <w:r w:rsidR="001756CC">
        <w:rPr>
          <w:rFonts w:ascii="Times New Roman" w:hAnsi="Times New Roman"/>
          <w:sz w:val="28"/>
          <w:szCs w:val="28"/>
        </w:rPr>
        <w:t>.</w:t>
      </w:r>
    </w:p>
    <w:p w:rsidR="00CD2D55" w:rsidRPr="005D0D76" w:rsidRDefault="000E15CB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0E15CB" w:rsidRPr="000E15CB" w:rsidRDefault="000E15CB" w:rsidP="000E15CB">
      <w:pPr>
        <w:tabs>
          <w:tab w:val="left" w:pos="900"/>
        </w:tabs>
        <w:ind w:firstLine="0"/>
        <w:rPr>
          <w:rFonts w:eastAsia="Calibri"/>
          <w:bCs/>
        </w:rPr>
      </w:pPr>
    </w:p>
    <w:p w:rsidR="000E15CB" w:rsidRDefault="000E15CB" w:rsidP="000E15C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B59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B5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15CB" w:rsidRDefault="000E15CB" w:rsidP="000E15CB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Ю.Н. Сывороткин</w:t>
      </w: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8B3A5E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8B3A5E" w:rsidRPr="00637A51" w:rsidRDefault="008B3A5E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637A51" w:rsidRPr="00637A5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5D0D76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Default="006B777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245E" w:rsidRDefault="0045245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45245E" w:rsidRDefault="0045245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537C" w:rsidRDefault="00F2537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F2537C" w:rsidRDefault="00F2537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756CC" w:rsidRDefault="001756C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B7777" w:rsidRPr="005D0D76" w:rsidRDefault="006B7777" w:rsidP="00B71E5C">
      <w:pPr>
        <w:tabs>
          <w:tab w:val="left" w:pos="5103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Default="00455B0C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5D0D76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2404D8" w:rsidP="00B71E5C">
      <w:pPr>
        <w:tabs>
          <w:tab w:val="left" w:pos="5670"/>
          <w:tab w:val="left" w:pos="5812"/>
          <w:tab w:val="left" w:pos="6379"/>
        </w:tabs>
        <w:ind w:left="4395" w:right="565" w:firstLine="0"/>
        <w:rPr>
          <w:rFonts w:ascii="Times New Roman" w:hAnsi="Times New Roman"/>
          <w:sz w:val="28"/>
          <w:szCs w:val="28"/>
        </w:rPr>
      </w:pPr>
      <w:proofErr w:type="spellStart"/>
      <w:r w:rsidRPr="002404D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0E44D8" w:rsidRPr="005D0D76">
        <w:rPr>
          <w:rFonts w:ascii="Times New Roman" w:hAnsi="Times New Roman"/>
          <w:sz w:val="28"/>
          <w:szCs w:val="28"/>
        </w:rPr>
        <w:t xml:space="preserve"> </w:t>
      </w:r>
      <w:r w:rsidR="000E44D8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E44D8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CD2D55"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CD2D55" w:rsidRPr="005D0D76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FA0898">
        <w:rPr>
          <w:rFonts w:ascii="Times New Roman" w:hAnsi="Times New Roman"/>
          <w:sz w:val="28"/>
          <w:szCs w:val="28"/>
        </w:rPr>
        <w:t>31.08.</w:t>
      </w:r>
      <w:r w:rsidRPr="005D0D76">
        <w:rPr>
          <w:rFonts w:ascii="Times New Roman" w:hAnsi="Times New Roman"/>
          <w:sz w:val="28"/>
          <w:szCs w:val="28"/>
        </w:rPr>
        <w:t xml:space="preserve">2023 № </w:t>
      </w:r>
      <w:r w:rsidR="00FA0898">
        <w:rPr>
          <w:rFonts w:ascii="Times New Roman" w:hAnsi="Times New Roman"/>
          <w:sz w:val="28"/>
          <w:szCs w:val="28"/>
        </w:rPr>
        <w:t>32</w:t>
      </w:r>
    </w:p>
    <w:p w:rsidR="00CD2D55" w:rsidRDefault="00CD2D55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</w:p>
    <w:p w:rsidR="001756CC" w:rsidRPr="005D0D76" w:rsidRDefault="001756CC" w:rsidP="00B71E5C">
      <w:pPr>
        <w:tabs>
          <w:tab w:val="left" w:pos="4395"/>
          <w:tab w:val="left" w:pos="5812"/>
        </w:tabs>
        <w:ind w:left="4395" w:right="565" w:firstLine="0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A606B1">
        <w:rPr>
          <w:b/>
          <w:i w:val="0"/>
          <w:sz w:val="28"/>
          <w:szCs w:val="28"/>
        </w:rPr>
        <w:t xml:space="preserve"> на территории </w:t>
      </w:r>
      <w:proofErr w:type="spellStart"/>
      <w:r w:rsidR="002404D8" w:rsidRPr="002404D8">
        <w:rPr>
          <w:b/>
          <w:i w:val="0"/>
          <w:sz w:val="28"/>
          <w:szCs w:val="28"/>
        </w:rPr>
        <w:t>Монастырщинского</w:t>
      </w:r>
      <w:proofErr w:type="spellEnd"/>
      <w:r w:rsidR="00A606B1">
        <w:rPr>
          <w:b/>
          <w:i w:val="0"/>
          <w:sz w:val="28"/>
          <w:szCs w:val="28"/>
        </w:rPr>
        <w:t xml:space="preserve"> сельского </w:t>
      </w:r>
      <w:r w:rsidRPr="005D0D76">
        <w:rPr>
          <w:b/>
          <w:i w:val="0"/>
          <w:sz w:val="28"/>
          <w:szCs w:val="28"/>
        </w:rPr>
        <w:t xml:space="preserve"> поселения </w:t>
      </w:r>
      <w:proofErr w:type="spellStart"/>
      <w:r w:rsidR="00A606B1">
        <w:rPr>
          <w:b/>
          <w:i w:val="0"/>
          <w:sz w:val="28"/>
          <w:szCs w:val="28"/>
        </w:rPr>
        <w:t>Богучарского</w:t>
      </w:r>
      <w:proofErr w:type="spellEnd"/>
      <w:r w:rsidRPr="005D0D76">
        <w:rPr>
          <w:b/>
          <w:i w:val="0"/>
          <w:sz w:val="28"/>
          <w:szCs w:val="28"/>
        </w:rPr>
        <w:t xml:space="preserve"> муниципального района</w:t>
      </w: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1756CC">
        <w:rPr>
          <w:sz w:val="28"/>
          <w:szCs w:val="28"/>
        </w:rPr>
        <w:t>являются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A606B1">
        <w:rPr>
          <w:sz w:val="28"/>
          <w:szCs w:val="28"/>
        </w:rPr>
        <w:t xml:space="preserve"> сельского поселения </w:t>
      </w:r>
      <w:proofErr w:type="spellStart"/>
      <w:r w:rsidR="00A606B1">
        <w:rPr>
          <w:sz w:val="28"/>
          <w:szCs w:val="28"/>
        </w:rPr>
        <w:t>Богучарского</w:t>
      </w:r>
      <w:proofErr w:type="spellEnd"/>
      <w:r w:rsidR="00A606B1">
        <w:rPr>
          <w:sz w:val="28"/>
          <w:szCs w:val="28"/>
        </w:rPr>
        <w:t xml:space="preserve"> муниципального района</w:t>
      </w:r>
      <w:r w:rsidR="00455B0C" w:rsidRPr="005D0D76">
        <w:rPr>
          <w:sz w:val="28"/>
          <w:szCs w:val="28"/>
        </w:rPr>
        <w:t xml:space="preserve"> 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A606B1">
        <w:rPr>
          <w:sz w:val="28"/>
          <w:szCs w:val="28"/>
        </w:rPr>
        <w:t xml:space="preserve"> сельского поселения </w:t>
      </w:r>
      <w:proofErr w:type="spellStart"/>
      <w:r w:rsidR="00A606B1">
        <w:rPr>
          <w:sz w:val="28"/>
          <w:szCs w:val="28"/>
        </w:rPr>
        <w:t>Богучарского</w:t>
      </w:r>
      <w:proofErr w:type="spellEnd"/>
      <w:r w:rsidR="00A606B1">
        <w:rPr>
          <w:sz w:val="28"/>
          <w:szCs w:val="28"/>
        </w:rPr>
        <w:t xml:space="preserve">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 xml:space="preserve"> 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5D0D76">
        <w:rPr>
          <w:sz w:val="28"/>
          <w:szCs w:val="28"/>
        </w:rPr>
        <w:t xml:space="preserve">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A606B1">
        <w:rPr>
          <w:sz w:val="28"/>
          <w:szCs w:val="28"/>
        </w:rPr>
        <w:t xml:space="preserve"> сельского поселения </w:t>
      </w:r>
      <w:proofErr w:type="spellStart"/>
      <w:r w:rsidR="00A606B1">
        <w:rPr>
          <w:sz w:val="28"/>
          <w:szCs w:val="28"/>
        </w:rPr>
        <w:t>Богучарского</w:t>
      </w:r>
      <w:proofErr w:type="spellEnd"/>
      <w:r w:rsidR="00A606B1">
        <w:rPr>
          <w:sz w:val="28"/>
          <w:szCs w:val="28"/>
        </w:rPr>
        <w:t xml:space="preserve">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A606B1">
        <w:rPr>
          <w:sz w:val="28"/>
          <w:szCs w:val="28"/>
        </w:rPr>
        <w:t xml:space="preserve"> сельского поселения </w:t>
      </w:r>
      <w:proofErr w:type="spellStart"/>
      <w:r w:rsidR="00A606B1">
        <w:rPr>
          <w:sz w:val="28"/>
          <w:szCs w:val="28"/>
        </w:rPr>
        <w:t>Богучарского</w:t>
      </w:r>
      <w:proofErr w:type="spellEnd"/>
      <w:r w:rsidR="00A606B1">
        <w:rPr>
          <w:sz w:val="28"/>
          <w:szCs w:val="28"/>
        </w:rPr>
        <w:t xml:space="preserve"> муниципального района</w:t>
      </w:r>
      <w:r w:rsidR="00A606B1" w:rsidRPr="005D0D76">
        <w:rPr>
          <w:sz w:val="28"/>
          <w:szCs w:val="28"/>
        </w:rPr>
        <w:t xml:space="preserve">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lastRenderedPageBreak/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5D0D76">
        <w:rPr>
          <w:sz w:val="28"/>
          <w:szCs w:val="28"/>
        </w:rPr>
        <w:t xml:space="preserve">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proofErr w:type="gramStart"/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</w:t>
      </w:r>
      <w:proofErr w:type="gramStart"/>
      <w:r w:rsidRPr="005D0D76">
        <w:rPr>
          <w:i w:val="0"/>
          <w:sz w:val="28"/>
          <w:szCs w:val="28"/>
        </w:rPr>
        <w:t>услуга</w:t>
      </w:r>
      <w:proofErr w:type="gramEnd"/>
      <w:r w:rsidRPr="005D0D76">
        <w:rPr>
          <w:i w:val="0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A94DDC">
        <w:rPr>
          <w:sz w:val="28"/>
          <w:szCs w:val="28"/>
        </w:rPr>
        <w:t xml:space="preserve"> сельского поселения </w:t>
      </w:r>
      <w:proofErr w:type="spellStart"/>
      <w:r w:rsidR="00A94DDC">
        <w:rPr>
          <w:sz w:val="28"/>
          <w:szCs w:val="28"/>
        </w:rPr>
        <w:t>Богучарского</w:t>
      </w:r>
      <w:proofErr w:type="spellEnd"/>
      <w:r w:rsidR="00A94DDC">
        <w:rPr>
          <w:sz w:val="28"/>
          <w:szCs w:val="28"/>
        </w:rPr>
        <w:t xml:space="preserve"> муниципального района</w:t>
      </w:r>
      <w:r w:rsidR="00A94DDC" w:rsidRPr="005D0D76">
        <w:rPr>
          <w:sz w:val="28"/>
          <w:szCs w:val="28"/>
        </w:rPr>
        <w:t xml:space="preserve"> Воронежской области </w:t>
      </w:r>
      <w:r w:rsidR="00CD2D55" w:rsidRPr="005D0D76">
        <w:rPr>
          <w:sz w:val="28"/>
          <w:szCs w:val="28"/>
        </w:rPr>
        <w:t xml:space="preserve">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1756CC" w:rsidRPr="005D0D76" w:rsidRDefault="002404D8" w:rsidP="002404D8">
      <w:pPr>
        <w:pStyle w:val="a3"/>
        <w:jc w:val="both"/>
      </w:pPr>
      <w:r>
        <w:t xml:space="preserve">      </w:t>
      </w:r>
      <w:r w:rsidR="00DF2A35" w:rsidRPr="005D0D76">
        <w:t>3.4</w:t>
      </w:r>
      <w:r w:rsidR="001E74C7" w:rsidRPr="005D0D76">
        <w:t xml:space="preserve">. </w:t>
      </w:r>
      <w:proofErr w:type="gramStart"/>
      <w:r w:rsidR="00CD2D55" w:rsidRPr="005D0D76">
        <w:t xml:space="preserve">На официальном сайте Администрации </w:t>
      </w:r>
      <w:proofErr w:type="spellStart"/>
      <w:r>
        <w:t>Монастырщинского</w:t>
      </w:r>
      <w:proofErr w:type="spellEnd"/>
      <w:r w:rsidR="008854A5">
        <w:t xml:space="preserve"> сельского поселения </w:t>
      </w:r>
      <w:proofErr w:type="spellStart"/>
      <w:r w:rsidR="008854A5">
        <w:t>Богучарского</w:t>
      </w:r>
      <w:proofErr w:type="spellEnd"/>
      <w:r w:rsidR="008854A5">
        <w:t xml:space="preserve"> муниципального района</w:t>
      </w:r>
      <w:r w:rsidR="008854A5" w:rsidRPr="005D0D76">
        <w:t xml:space="preserve"> Воронежской области</w:t>
      </w:r>
      <w:r w:rsidR="00CD2D55" w:rsidRPr="005D0D76">
        <w:t xml:space="preserve"> </w:t>
      </w:r>
      <w:r w:rsidR="00B75D88" w:rsidRPr="00047065">
        <w:t>(</w:t>
      </w:r>
      <w:r w:rsidR="002B0E3B" w:rsidRPr="002B0E3B">
        <w:rPr>
          <w:color w:val="FF0000"/>
        </w:rPr>
        <w:t>https://monastyrshhinskoe-r20.gosweb.gosuslugi.ru/</w:t>
      </w:r>
      <w:r w:rsidR="00B75D88" w:rsidRPr="00047065">
        <w:t>)</w:t>
      </w:r>
      <w:r w:rsidR="00B75D88" w:rsidRPr="00934AF2">
        <w:t xml:space="preserve"> </w:t>
      </w:r>
      <w:r w:rsidR="00CD2D55" w:rsidRPr="005D0D76"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lang w:val="en-US"/>
        </w:rPr>
        <w:t>www</w:t>
      </w:r>
      <w:r w:rsidR="00CD2D55" w:rsidRPr="005D0D76">
        <w:t>.</w:t>
      </w:r>
      <w:proofErr w:type="spellStart"/>
      <w:r w:rsidR="00CD2D55" w:rsidRPr="005D0D76">
        <w:rPr>
          <w:lang w:val="en-US"/>
        </w:rPr>
        <w:t>gosuslugi</w:t>
      </w:r>
      <w:proofErr w:type="spellEnd"/>
      <w:r w:rsidR="00CD2D55" w:rsidRPr="005D0D76">
        <w:t>.</w:t>
      </w:r>
      <w:proofErr w:type="spellStart"/>
      <w:r w:rsidR="00CD2D55" w:rsidRPr="005D0D76">
        <w:rPr>
          <w:lang w:val="en-US"/>
        </w:rPr>
        <w:t>ru</w:t>
      </w:r>
      <w:proofErr w:type="spellEnd"/>
      <w:r w:rsidR="00CD2D55" w:rsidRPr="005D0D76">
        <w:rPr>
          <w:rStyle w:val="1"/>
          <w:rFonts w:eastAsia="Calibri"/>
          <w:sz w:val="28"/>
          <w:szCs w:val="28"/>
          <w:u w:val="none"/>
        </w:rPr>
        <w:t xml:space="preserve"> (далее – ЕПГУ</w:t>
      </w:r>
      <w:r w:rsidR="001756CC" w:rsidRPr="005D0D76">
        <w:rPr>
          <w:rStyle w:val="1"/>
          <w:rFonts w:eastAsia="Calibri"/>
          <w:sz w:val="28"/>
          <w:szCs w:val="28"/>
          <w:u w:val="none"/>
        </w:rPr>
        <w:t>),</w:t>
      </w:r>
      <w:r w:rsidR="001756CC" w:rsidRPr="00AA366A">
        <w:t xml:space="preserve"> </w:t>
      </w:r>
      <w:r w:rsidR="001756CC" w:rsidRPr="008001F9">
        <w:t>на информационной системе Воронежской области «Портал Воронежской области в</w:t>
      </w:r>
      <w:proofErr w:type="gramEnd"/>
      <w:r w:rsidR="001756CC" w:rsidRPr="008001F9">
        <w:t xml:space="preserve"> сети Интернет», расположенной в сети Интернет</w:t>
      </w:r>
      <w:r w:rsidR="001756CC">
        <w:t xml:space="preserve"> </w:t>
      </w:r>
      <w:r w:rsidR="001756CC" w:rsidRPr="00736640">
        <w:t xml:space="preserve">(далее - «Портал Воронежской области в сети Интернет») </w:t>
      </w:r>
      <w:r w:rsidR="001756CC" w:rsidRPr="008001F9">
        <w:t>по адресу:</w:t>
      </w:r>
      <w:hyperlink r:id="rId9" w:history="1">
        <w:r w:rsidR="001756CC" w:rsidRPr="008001F9">
          <w:rPr>
            <w:rStyle w:val="a9"/>
          </w:rPr>
          <w:t xml:space="preserve"> </w:t>
        </w:r>
        <w:r w:rsidR="001756CC" w:rsidRPr="008001F9">
          <w:rPr>
            <w:rStyle w:val="a9"/>
            <w:lang w:val="en-US"/>
          </w:rPr>
          <w:t>www</w:t>
        </w:r>
        <w:r w:rsidR="001756CC" w:rsidRPr="008001F9">
          <w:rPr>
            <w:rStyle w:val="a9"/>
          </w:rPr>
          <w:t>.</w:t>
        </w:r>
        <w:proofErr w:type="spellStart"/>
        <w:r w:rsidR="001756CC" w:rsidRPr="008001F9">
          <w:rPr>
            <w:rStyle w:val="a9"/>
            <w:lang w:val="en-US"/>
          </w:rPr>
          <w:t>govvrn</w:t>
        </w:r>
        <w:proofErr w:type="spellEnd"/>
        <w:r w:rsidR="001756CC" w:rsidRPr="008001F9">
          <w:rPr>
            <w:rStyle w:val="a9"/>
          </w:rPr>
          <w:t>.</w:t>
        </w:r>
        <w:proofErr w:type="spellStart"/>
        <w:r w:rsidR="001756CC" w:rsidRPr="008001F9">
          <w:rPr>
            <w:rStyle w:val="a9"/>
            <w:lang w:val="en-US"/>
          </w:rPr>
          <w:t>ru</w:t>
        </w:r>
        <w:proofErr w:type="spellEnd"/>
      </w:hyperlink>
      <w:r w:rsidR="001756CC" w:rsidRPr="005D0D76">
        <w:t xml:space="preserve"> обязательному размещению подлежит следующая справочная информация:</w:t>
      </w:r>
    </w:p>
    <w:p w:rsidR="00CD2D55" w:rsidRPr="005D0D76" w:rsidRDefault="001756CC" w:rsidP="001756C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справочные телефоны Администрации, в том числе номер </w:t>
      </w:r>
      <w:proofErr w:type="spellStart"/>
      <w:r w:rsidRPr="005D0D76">
        <w:rPr>
          <w:sz w:val="28"/>
          <w:szCs w:val="28"/>
        </w:rPr>
        <w:t>телефона-автоинформатора</w:t>
      </w:r>
      <w:proofErr w:type="spellEnd"/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F5095C" w:rsidRPr="001756CC">
        <w:rPr>
          <w:sz w:val="28"/>
          <w:szCs w:val="28"/>
        </w:rPr>
        <w:t>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</w:t>
      </w:r>
      <w:r w:rsidR="001756CC">
        <w:rPr>
          <w:sz w:val="28"/>
          <w:szCs w:val="28"/>
        </w:rPr>
        <w:t xml:space="preserve">, </w:t>
      </w:r>
      <w:r w:rsidR="001756CC" w:rsidRPr="001756CC">
        <w:rPr>
          <w:sz w:val="28"/>
          <w:szCs w:val="28"/>
        </w:rPr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номера </w:t>
      </w:r>
      <w:proofErr w:type="spellStart"/>
      <w:r w:rsidRPr="005D0D76">
        <w:rPr>
          <w:sz w:val="28"/>
          <w:szCs w:val="28"/>
        </w:rPr>
        <w:t>телефонов-автоинформаторов</w:t>
      </w:r>
      <w:proofErr w:type="spellEnd"/>
      <w:r w:rsidRPr="005D0D76">
        <w:rPr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з</w:t>
      </w:r>
      <w:proofErr w:type="spellEnd"/>
      <w:r w:rsidRPr="005D0D76">
        <w:rPr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5D0D76">
        <w:rPr>
          <w:sz w:val="28"/>
          <w:szCs w:val="28"/>
        </w:rPr>
        <w:t>приняв вызов по телефону представляется</w:t>
      </w:r>
      <w:proofErr w:type="gramEnd"/>
      <w:r w:rsidR="00CD2D55" w:rsidRPr="005D0D76">
        <w:rPr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Информирование</w:t>
      </w:r>
      <w:proofErr w:type="gramEnd"/>
      <w:r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5D0D76">
        <w:rPr>
          <w:sz w:val="28"/>
          <w:szCs w:val="28"/>
        </w:rPr>
        <w:t>произносят слова четко и не прерывают</w:t>
      </w:r>
      <w:proofErr w:type="gramEnd"/>
      <w:r w:rsidRPr="005D0D76">
        <w:rPr>
          <w:sz w:val="28"/>
          <w:szCs w:val="28"/>
        </w:rPr>
        <w:t xml:space="preserve">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5D0D76">
        <w:rPr>
          <w:sz w:val="28"/>
          <w:szCs w:val="28"/>
        </w:rPr>
        <w:t>обратившемуся</w:t>
      </w:r>
      <w:proofErr w:type="gramEnd"/>
      <w:r w:rsidR="00CD2D55" w:rsidRPr="005D0D76">
        <w:rPr>
          <w:sz w:val="28"/>
          <w:szCs w:val="28"/>
        </w:rPr>
        <w:t xml:space="preserve">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>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ж</w:t>
      </w:r>
      <w:r w:rsidR="00CD2D55" w:rsidRPr="005D0D76">
        <w:rPr>
          <w:sz w:val="28"/>
          <w:szCs w:val="28"/>
        </w:rPr>
        <w:t>) о месте размещения на ЕПГУ,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</w:t>
      </w:r>
      <w:r w:rsidR="00CD2D55" w:rsidRPr="005D0D76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</w:t>
      </w:r>
      <w:r w:rsidR="001756CC">
        <w:rPr>
          <w:sz w:val="28"/>
          <w:szCs w:val="28"/>
        </w:rPr>
        <w:t>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 </w:t>
      </w:r>
      <w:r w:rsidR="00CD2D55" w:rsidRPr="005D0D76">
        <w:rPr>
          <w:sz w:val="28"/>
          <w:szCs w:val="28"/>
        </w:rPr>
        <w:t xml:space="preserve">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1756CC" w:rsidRPr="001756CC">
        <w:rPr>
          <w:sz w:val="28"/>
          <w:szCs w:val="28"/>
        </w:rPr>
        <w:t xml:space="preserve"> «Портал Воронежской области в сети Интернет»</w:t>
      </w:r>
      <w:r w:rsidR="001756CC">
        <w:rPr>
          <w:sz w:val="28"/>
          <w:szCs w:val="28"/>
        </w:rPr>
        <w:t xml:space="preserve"> и </w:t>
      </w:r>
      <w:r w:rsidR="00CD2D55" w:rsidRPr="005D0D76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2404D8">
        <w:rPr>
          <w:sz w:val="28"/>
          <w:szCs w:val="28"/>
        </w:rPr>
        <w:t xml:space="preserve"> </w:t>
      </w:r>
      <w:r w:rsidR="00D1621B">
        <w:rPr>
          <w:sz w:val="28"/>
          <w:szCs w:val="28"/>
        </w:rPr>
        <w:t xml:space="preserve">сельского поселения </w:t>
      </w:r>
      <w:proofErr w:type="spellStart"/>
      <w:r w:rsidR="00D1621B">
        <w:rPr>
          <w:sz w:val="28"/>
          <w:szCs w:val="28"/>
        </w:rPr>
        <w:t>Богучарского</w:t>
      </w:r>
      <w:proofErr w:type="spellEnd"/>
      <w:r w:rsidR="00D1621B">
        <w:rPr>
          <w:sz w:val="28"/>
          <w:szCs w:val="28"/>
        </w:rPr>
        <w:t xml:space="preserve"> муниципального района</w:t>
      </w:r>
      <w:r w:rsidR="00D1621B" w:rsidRPr="005D0D76">
        <w:rPr>
          <w:sz w:val="28"/>
          <w:szCs w:val="28"/>
        </w:rPr>
        <w:t xml:space="preserve">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1756CC">
        <w:rPr>
          <w:sz w:val="28"/>
          <w:szCs w:val="28"/>
        </w:rPr>
        <w:t xml:space="preserve"> </w:t>
      </w:r>
      <w:r w:rsidR="001756CC" w:rsidRPr="001756CC">
        <w:rPr>
          <w:sz w:val="28"/>
          <w:szCs w:val="28"/>
        </w:rPr>
        <w:lastRenderedPageBreak/>
        <w:t>«Портал Воронежской области в сети Интернет»</w:t>
      </w:r>
      <w:r w:rsidR="00CD2D55" w:rsidRPr="005D0D76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2D3DA8" w:rsidRPr="00FD2F09" w:rsidRDefault="00CD2D55" w:rsidP="002D3DA8">
      <w:pPr>
        <w:pStyle w:val="5"/>
        <w:shd w:val="clear" w:color="auto" w:fill="auto"/>
        <w:tabs>
          <w:tab w:val="left" w:pos="1478"/>
        </w:tabs>
        <w:ind w:right="20" w:firstLine="567"/>
        <w:jc w:val="both"/>
        <w:rPr>
          <w:sz w:val="28"/>
          <w:szCs w:val="28"/>
        </w:rPr>
      </w:pPr>
      <w:r w:rsidRPr="005D0D76">
        <w:rPr>
          <w:sz w:val="28"/>
          <w:szCs w:val="28"/>
        </w:rPr>
        <w:t xml:space="preserve">5.5. </w:t>
      </w:r>
      <w:proofErr w:type="gramStart"/>
      <w:r w:rsidR="002D3DA8" w:rsidRPr="00FD2F09"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2D3DA8" w:rsidRPr="00FD2F09">
        <w:rPr>
          <w:sz w:val="28"/>
          <w:szCs w:val="28"/>
        </w:rPr>
        <w:t xml:space="preserve"> </w:t>
      </w:r>
      <w:proofErr w:type="gramStart"/>
      <w:r w:rsidR="002D3DA8" w:rsidRPr="00FD2F09">
        <w:rPr>
          <w:sz w:val="28"/>
          <w:szCs w:val="28"/>
        </w:rPr>
        <w:t>предоставлении муниципальных услуг, утвержденным пост</w:t>
      </w:r>
      <w:r w:rsidR="002D3DA8">
        <w:rPr>
          <w:sz w:val="28"/>
          <w:szCs w:val="28"/>
        </w:rPr>
        <w:t xml:space="preserve">ановлением администрации </w:t>
      </w:r>
      <w:proofErr w:type="spellStart"/>
      <w:r w:rsidR="007D64B4">
        <w:rPr>
          <w:sz w:val="28"/>
          <w:szCs w:val="28"/>
        </w:rPr>
        <w:t>Монастырщинского</w:t>
      </w:r>
      <w:proofErr w:type="spellEnd"/>
      <w:r w:rsidR="002D3DA8" w:rsidRPr="00FD2F09">
        <w:rPr>
          <w:sz w:val="28"/>
          <w:szCs w:val="28"/>
        </w:rPr>
        <w:t xml:space="preserve"> сельского поселения </w:t>
      </w:r>
      <w:proofErr w:type="spellStart"/>
      <w:r w:rsidR="002D3DA8" w:rsidRPr="00FD2F09">
        <w:rPr>
          <w:sz w:val="28"/>
          <w:szCs w:val="28"/>
        </w:rPr>
        <w:t>Богучарского</w:t>
      </w:r>
      <w:proofErr w:type="spellEnd"/>
      <w:r w:rsidR="002D3DA8" w:rsidRPr="00FD2F09">
        <w:rPr>
          <w:sz w:val="28"/>
          <w:szCs w:val="28"/>
        </w:rPr>
        <w:t xml:space="preserve"> муниципального района Воронежской области</w:t>
      </w:r>
      <w:r w:rsidR="00630503" w:rsidRPr="00630503">
        <w:rPr>
          <w:sz w:val="28"/>
          <w:szCs w:val="28"/>
        </w:rPr>
        <w:t xml:space="preserve"> </w:t>
      </w:r>
      <w:r w:rsidR="00630503">
        <w:rPr>
          <w:sz w:val="28"/>
          <w:szCs w:val="28"/>
        </w:rPr>
        <w:t xml:space="preserve">от 28.08.2023 г. № 31 </w:t>
      </w:r>
      <w:r w:rsidR="002D3DA8" w:rsidRPr="00FD2F09">
        <w:rPr>
          <w:sz w:val="28"/>
          <w:szCs w:val="28"/>
        </w:rPr>
        <w:t xml:space="preserve"> «Об утверждении перечня муниципальных услуг, оказыв</w:t>
      </w:r>
      <w:r w:rsidR="002D3DA8">
        <w:rPr>
          <w:sz w:val="28"/>
          <w:szCs w:val="28"/>
        </w:rPr>
        <w:t xml:space="preserve">аемых администрацией  </w:t>
      </w:r>
      <w:proofErr w:type="spellStart"/>
      <w:r w:rsidR="002404D8">
        <w:rPr>
          <w:sz w:val="28"/>
          <w:szCs w:val="28"/>
        </w:rPr>
        <w:t>Монастырщинского</w:t>
      </w:r>
      <w:proofErr w:type="spellEnd"/>
      <w:r w:rsidR="002D3DA8" w:rsidRPr="00FD2F09">
        <w:rPr>
          <w:sz w:val="28"/>
          <w:szCs w:val="28"/>
        </w:rPr>
        <w:t xml:space="preserve"> сельского поселения </w:t>
      </w:r>
      <w:proofErr w:type="spellStart"/>
      <w:r w:rsidR="002D3DA8" w:rsidRPr="00FD2F09">
        <w:rPr>
          <w:sz w:val="28"/>
          <w:szCs w:val="28"/>
        </w:rPr>
        <w:t>Богучарского</w:t>
      </w:r>
      <w:proofErr w:type="spellEnd"/>
      <w:r w:rsidR="002D3DA8" w:rsidRPr="00FD2F09">
        <w:rPr>
          <w:sz w:val="28"/>
          <w:szCs w:val="28"/>
        </w:rPr>
        <w:t xml:space="preserve"> муни</w:t>
      </w:r>
      <w:r w:rsidR="002404D8">
        <w:rPr>
          <w:sz w:val="28"/>
          <w:szCs w:val="28"/>
        </w:rPr>
        <w:t>ци</w:t>
      </w:r>
      <w:r w:rsidR="002D3DA8" w:rsidRPr="00FD2F09">
        <w:rPr>
          <w:sz w:val="28"/>
          <w:szCs w:val="28"/>
        </w:rPr>
        <w:t>пального района».</w:t>
      </w:r>
      <w:proofErr w:type="gramEnd"/>
    </w:p>
    <w:p w:rsidR="00CD2D55" w:rsidRPr="005D0D76" w:rsidRDefault="00CD2D55" w:rsidP="002D3DA8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4D8" w:rsidRPr="002404D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1B7995" w:rsidRPr="001B799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B7995" w:rsidRPr="001B799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1B7995" w:rsidRPr="001B799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A23FF2" w:rsidRPr="005D0D76">
        <w:rPr>
          <w:rFonts w:ascii="Times New Roman" w:hAnsi="Times New Roman"/>
          <w:sz w:val="28"/>
          <w:szCs w:val="28"/>
        </w:rPr>
        <w:t>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proofErr w:type="spellStart"/>
      <w:r w:rsidR="002404D8" w:rsidRPr="002404D8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404D8" w:rsidRPr="002404D8">
        <w:rPr>
          <w:rFonts w:ascii="Times New Roman" w:hAnsi="Times New Roman"/>
          <w:sz w:val="28"/>
          <w:szCs w:val="28"/>
        </w:rPr>
        <w:t xml:space="preserve"> </w:t>
      </w:r>
      <w:r w:rsidR="001B7995" w:rsidRPr="001B799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B7995" w:rsidRPr="001B799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1B7995" w:rsidRPr="001B799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F75B0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8.2. </w:t>
      </w:r>
      <w:proofErr w:type="gramStart"/>
      <w:r w:rsidR="00CD2D55" w:rsidRPr="005D0D76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</w:t>
      </w:r>
      <w:r w:rsidR="00F2537C">
        <w:rPr>
          <w:sz w:val="28"/>
          <w:szCs w:val="28"/>
        </w:rPr>
        <w:t xml:space="preserve">Муниципальные услуги» по адресу </w:t>
      </w:r>
      <w:r w:rsidR="005F75B0">
        <w:rPr>
          <w:sz w:val="28"/>
          <w:szCs w:val="28"/>
        </w:rPr>
        <w:t>(</w:t>
      </w:r>
      <w:r w:rsidR="009B2A37" w:rsidRPr="009B2A37">
        <w:rPr>
          <w:color w:val="FF0000"/>
          <w:sz w:val="28"/>
          <w:szCs w:val="28"/>
        </w:rPr>
        <w:t>(https://monastyrshhinskoe-r20.gosweb.gosuslugi.ru</w:t>
      </w:r>
      <w:r w:rsidR="005F75B0">
        <w:rPr>
          <w:color w:val="FF0000"/>
          <w:sz w:val="28"/>
          <w:szCs w:val="28"/>
        </w:rPr>
        <w:t>)</w:t>
      </w:r>
      <w:proofErr w:type="gramEnd"/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455FC8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, </w:t>
      </w:r>
      <w:proofErr w:type="gramStart"/>
      <w:r w:rsidRPr="005D0D76">
        <w:rPr>
          <w:i w:val="0"/>
          <w:sz w:val="28"/>
          <w:szCs w:val="28"/>
        </w:rPr>
        <w:t>удостоверяющий</w:t>
      </w:r>
      <w:proofErr w:type="gramEnd"/>
      <w:r w:rsidRPr="005D0D76">
        <w:rPr>
          <w:i w:val="0"/>
          <w:sz w:val="28"/>
          <w:szCs w:val="28"/>
        </w:rPr>
        <w:t xml:space="preserve">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</w:t>
      </w:r>
      <w:r w:rsidR="007E215D" w:rsidRPr="005D0D76">
        <w:rPr>
          <w:i w:val="0"/>
          <w:sz w:val="28"/>
          <w:szCs w:val="28"/>
        </w:rPr>
        <w:lastRenderedPageBreak/>
        <w:t xml:space="preserve">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8F3016"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  <w:proofErr w:type="gramEnd"/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 xml:space="preserve">невыполнение </w:t>
      </w:r>
      <w:r w:rsidR="00103EF0">
        <w:rPr>
          <w:sz w:val="28"/>
          <w:szCs w:val="28"/>
        </w:rPr>
        <w:lastRenderedPageBreak/>
        <w:t>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="00CD2D55" w:rsidRPr="005D0D76">
        <w:rPr>
          <w:sz w:val="28"/>
          <w:szCs w:val="28"/>
        </w:rPr>
        <w:lastRenderedPageBreak/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</w:t>
      </w:r>
      <w:proofErr w:type="gramStart"/>
      <w:r w:rsidR="00CD2D55" w:rsidRPr="005D0D76">
        <w:rPr>
          <w:sz w:val="28"/>
          <w:szCs w:val="28"/>
        </w:rPr>
        <w:t>,</w:t>
      </w:r>
      <w:proofErr w:type="gramEnd"/>
      <w:r w:rsidR="00CD2D55" w:rsidRPr="005D0D7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</w:t>
      </w:r>
      <w:proofErr w:type="spellStart"/>
      <w:r w:rsidRPr="005D0D76">
        <w:rPr>
          <w:sz w:val="28"/>
          <w:szCs w:val="28"/>
        </w:rPr>
        <w:t>сурдопереводчика</w:t>
      </w:r>
      <w:proofErr w:type="spellEnd"/>
      <w:r w:rsidRPr="005D0D76">
        <w:rPr>
          <w:sz w:val="28"/>
          <w:szCs w:val="28"/>
        </w:rPr>
        <w:t xml:space="preserve"> и </w:t>
      </w:r>
      <w:proofErr w:type="spellStart"/>
      <w:r w:rsidRPr="005D0D76">
        <w:rPr>
          <w:sz w:val="28"/>
          <w:szCs w:val="28"/>
        </w:rPr>
        <w:t>тифлосурдоисреводчика</w:t>
      </w:r>
      <w:proofErr w:type="spellEnd"/>
      <w:r w:rsidRPr="005D0D76">
        <w:rPr>
          <w:sz w:val="28"/>
          <w:szCs w:val="28"/>
        </w:rPr>
        <w:t>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5D0D76">
        <w:rPr>
          <w:sz w:val="28"/>
          <w:szCs w:val="28"/>
        </w:rPr>
        <w:t>маломобильных</w:t>
      </w:r>
      <w:proofErr w:type="spellEnd"/>
      <w:r w:rsidRPr="005D0D76">
        <w:rPr>
          <w:sz w:val="28"/>
          <w:szCs w:val="28"/>
        </w:rPr>
        <w:t xml:space="preserve">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з</w:t>
      </w:r>
      <w:proofErr w:type="spellEnd"/>
      <w:r w:rsidRPr="005D0D76">
        <w:rPr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proofErr w:type="spellStart"/>
      <w:r w:rsidRPr="005D0D76">
        <w:rPr>
          <w:sz w:val="28"/>
          <w:szCs w:val="28"/>
        </w:rPr>
        <w:t>д</w:t>
      </w:r>
      <w:proofErr w:type="spellEnd"/>
      <w:r w:rsidRPr="005D0D76">
        <w:rPr>
          <w:sz w:val="28"/>
          <w:szCs w:val="28"/>
        </w:rPr>
        <w:t xml:space="preserve">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 xml:space="preserve">аявителя на участие в </w:t>
      </w:r>
      <w:proofErr w:type="spellStart"/>
      <w:r w:rsidR="00CD2D55" w:rsidRPr="005D0D76">
        <w:rPr>
          <w:sz w:val="28"/>
          <w:szCs w:val="28"/>
        </w:rPr>
        <w:t>смс-опросе</w:t>
      </w:r>
      <w:proofErr w:type="spellEnd"/>
      <w:r w:rsidR="00CD2D55" w:rsidRPr="005D0D76">
        <w:rPr>
          <w:sz w:val="28"/>
          <w:szCs w:val="28"/>
        </w:rPr>
        <w:t xml:space="preserve">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lastRenderedPageBreak/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</w:t>
      </w: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</w:t>
      </w:r>
      <w:proofErr w:type="spellStart"/>
      <w:r w:rsidRPr="00BC177E">
        <w:rPr>
          <w:rFonts w:ascii="Times New Roman" w:eastAsiaTheme="minorHAnsi" w:hAnsi="Times New Roman"/>
          <w:sz w:val="28"/>
          <w:szCs w:val="28"/>
        </w:rPr>
        <w:t>онлайн-режиме</w:t>
      </w:r>
      <w:proofErr w:type="spellEnd"/>
      <w:r w:rsidRPr="00BC177E">
        <w:rPr>
          <w:rFonts w:ascii="Times New Roman" w:eastAsiaTheme="minorHAnsi" w:hAnsi="Times New Roman"/>
          <w:sz w:val="28"/>
          <w:szCs w:val="28"/>
        </w:rPr>
        <w:t xml:space="preserve">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 xml:space="preserve">Ответственное за формирование результатов Муниципальной услуги лицо </w:t>
      </w:r>
      <w:proofErr w:type="gramStart"/>
      <w:r w:rsidR="00416AC1">
        <w:rPr>
          <w:rFonts w:ascii="Times New Roman" w:eastAsiaTheme="minorHAnsi" w:hAnsi="Times New Roman"/>
          <w:sz w:val="28"/>
          <w:szCs w:val="28"/>
        </w:rPr>
        <w:t>осуществляет поиск заданного объекта и осуществляет</w:t>
      </w:r>
      <w:proofErr w:type="gramEnd"/>
      <w:r w:rsidR="00416AC1">
        <w:rPr>
          <w:rFonts w:ascii="Times New Roman" w:eastAsiaTheme="minorHAnsi" w:hAnsi="Times New Roman"/>
          <w:sz w:val="28"/>
          <w:szCs w:val="28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</w:t>
      </w:r>
      <w:r w:rsidR="00465A94" w:rsidRPr="00465A94">
        <w:rPr>
          <w:b/>
          <w:i w:val="0"/>
          <w:sz w:val="28"/>
          <w:szCs w:val="28"/>
        </w:rPr>
        <w:lastRenderedPageBreak/>
        <w:t>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2537C">
        <w:rPr>
          <w:sz w:val="28"/>
          <w:szCs w:val="28"/>
        </w:rPr>
        <w:t>_____________________</w:t>
      </w:r>
      <w:r w:rsidR="00C672B2">
        <w:rPr>
          <w:sz w:val="28"/>
          <w:szCs w:val="28"/>
        </w:rPr>
        <w:t xml:space="preserve"> сельского поселения </w:t>
      </w:r>
      <w:proofErr w:type="spellStart"/>
      <w:r w:rsidR="00C672B2">
        <w:rPr>
          <w:sz w:val="28"/>
          <w:szCs w:val="28"/>
        </w:rPr>
        <w:t>Богучарского</w:t>
      </w:r>
      <w:proofErr w:type="spellEnd"/>
      <w:r w:rsidR="00C672B2">
        <w:rPr>
          <w:sz w:val="28"/>
          <w:szCs w:val="28"/>
        </w:rPr>
        <w:t xml:space="preserve"> муниципального района</w:t>
      </w:r>
      <w:r w:rsidR="00C672B2" w:rsidRPr="005D0D76">
        <w:rPr>
          <w:sz w:val="28"/>
          <w:szCs w:val="28"/>
        </w:rPr>
        <w:t xml:space="preserve">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2537C">
        <w:rPr>
          <w:sz w:val="28"/>
          <w:szCs w:val="28"/>
        </w:rPr>
        <w:t>_____________________</w:t>
      </w:r>
      <w:r w:rsidR="00C672B2">
        <w:rPr>
          <w:sz w:val="28"/>
          <w:szCs w:val="28"/>
        </w:rPr>
        <w:t xml:space="preserve"> сельского поселения </w:t>
      </w:r>
      <w:proofErr w:type="spellStart"/>
      <w:r w:rsidR="00C672B2">
        <w:rPr>
          <w:sz w:val="28"/>
          <w:szCs w:val="28"/>
        </w:rPr>
        <w:t>Богучарского</w:t>
      </w:r>
      <w:proofErr w:type="spellEnd"/>
      <w:r w:rsidR="00C672B2">
        <w:rPr>
          <w:sz w:val="28"/>
          <w:szCs w:val="28"/>
        </w:rPr>
        <w:t xml:space="preserve"> муниципального района</w:t>
      </w:r>
      <w:r w:rsidR="00C672B2" w:rsidRPr="005D0D76">
        <w:rPr>
          <w:sz w:val="28"/>
          <w:szCs w:val="28"/>
        </w:rPr>
        <w:t xml:space="preserve">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F2537C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2537C" w:rsidRPr="00FA1DEB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F2537C" w:rsidRPr="00FA1DEB" w:rsidRDefault="00F2537C" w:rsidP="00F25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4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5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нарушение срока предоставления муниципальной услуги.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привлекаемые организации.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 xml:space="preserve"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Воронежской области в сети Интернет, официального сайта администрации</w:t>
      </w:r>
      <w:r w:rsidRPr="007A683B">
        <w:rPr>
          <w:rStyle w:val="af3"/>
          <w:bCs/>
          <w:sz w:val="28"/>
          <w:szCs w:val="28"/>
        </w:rPr>
        <w:footnoteReference w:id="1"/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0A86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990A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990A86">
        <w:rPr>
          <w:rFonts w:ascii="Times New Roman" w:hAnsi="Times New Roman"/>
          <w:bCs/>
          <w:sz w:val="28"/>
          <w:szCs w:val="28"/>
        </w:rPr>
        <w:t>Монастырщинского</w:t>
      </w:r>
      <w:proofErr w:type="spellEnd"/>
      <w:r w:rsidR="00990A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5E1DC3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номерам телефонов, которые размещаются на официальном сайте администрации в сети Интернет, на информационных стендах.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49"/>
      <w:bookmarkEnd w:id="3"/>
      <w:r w:rsidRPr="00094ACC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5.10.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 w:rsidRPr="00094ACC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4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/>
          <w:bCs/>
          <w:sz w:val="28"/>
          <w:szCs w:val="28"/>
        </w:rPr>
        <w:t>3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5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6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2537C" w:rsidRPr="00094ACC" w:rsidRDefault="00F2537C" w:rsidP="00F2537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5238C5" w:rsidRDefault="005238C5" w:rsidP="005238C5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t xml:space="preserve">Приложение № 1 </w:t>
      </w:r>
    </w:p>
    <w:p w:rsidR="005238C5" w:rsidRDefault="005238C5" w:rsidP="0045245E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</w:t>
      </w:r>
      <w:r w:rsidR="0045245E">
        <w:rPr>
          <w:rFonts w:ascii="Times New Roman" w:hAnsi="Times New Roman"/>
          <w:bCs/>
        </w:rPr>
        <w:t xml:space="preserve"> Административному регламенту</w:t>
      </w:r>
    </w:p>
    <w:p w:rsidR="006D5F37" w:rsidRDefault="006D5F37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2404D8" w:rsidP="002404D8">
      <w:pPr>
        <w:pStyle w:val="a3"/>
        <w:jc w:val="center"/>
      </w:pPr>
      <w:r>
        <w:t xml:space="preserve">                                                          </w:t>
      </w:r>
      <w:r w:rsidR="005D0D76"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6D5F37" w:rsidRDefault="006D5F37" w:rsidP="006D5F37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>Приложение</w:t>
      </w:r>
      <w:r w:rsidR="005238C5">
        <w:rPr>
          <w:rFonts w:ascii="Times New Roman" w:hAnsi="Times New Roman"/>
        </w:rPr>
        <w:t xml:space="preserve"> № 2</w:t>
      </w:r>
      <w:r>
        <w:rPr>
          <w:rFonts w:ascii="Times New Roman" w:hAnsi="Times New Roman"/>
        </w:rPr>
        <w:t xml:space="preserve"> </w:t>
      </w:r>
    </w:p>
    <w:p w:rsidR="006D5F37" w:rsidRDefault="006D5F37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238C5" w:rsidRDefault="005238C5" w:rsidP="005238C5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 xml:space="preserve">Приложение № 3 </w:t>
      </w:r>
    </w:p>
    <w:p w:rsidR="005D0D76" w:rsidRDefault="005238C5" w:rsidP="00061FE5">
      <w:pPr>
        <w:autoSpaceDE w:val="0"/>
        <w:autoSpaceDN w:val="0"/>
        <w:adjustRightInd w:val="0"/>
        <w:ind w:left="5103" w:firstLine="0"/>
        <w:rPr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  <w:r w:rsidR="00061FE5">
        <w:rPr>
          <w:bCs/>
        </w:rPr>
        <w:t xml:space="preserve"> </w:t>
      </w: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238C5" w:rsidRDefault="005D0D76" w:rsidP="005238C5">
      <w:pPr>
        <w:ind w:left="4536"/>
        <w:rPr>
          <w:rFonts w:ascii="Times New Roman" w:eastAsia="Calibri" w:hAnsi="Times New Roman"/>
          <w:bCs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="005238C5">
        <w:rPr>
          <w:rFonts w:ascii="Times New Roman" w:hAnsi="Times New Roman"/>
        </w:rPr>
        <w:lastRenderedPageBreak/>
        <w:t xml:space="preserve">Приложение № 4 </w:t>
      </w:r>
    </w:p>
    <w:p w:rsidR="005D0D76" w:rsidRDefault="005238C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>в Администрации</w:t>
      </w:r>
      <w:r w:rsidRPr="00191615">
        <w:rPr>
          <w:color w:val="FF0000"/>
        </w:rPr>
        <w:t>***</w:t>
      </w:r>
      <w:r>
        <w:t xml:space="preserve">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Pr="00F2537C" w:rsidRDefault="008E3F57" w:rsidP="008E3F57">
      <w:pPr>
        <w:pStyle w:val="a3"/>
        <w:jc w:val="both"/>
      </w:pPr>
      <w:r w:rsidRPr="00F2537C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364DBC" w:rsidRDefault="005D0D76" w:rsidP="00364DBC">
      <w:pPr>
        <w:ind w:left="4536"/>
        <w:rPr>
          <w:rFonts w:ascii="Times New Roman" w:eastAsia="Calibri" w:hAnsi="Times New Roman"/>
          <w:bCs/>
        </w:rPr>
      </w:pPr>
      <w:r w:rsidRPr="005D0D76">
        <w:br w:type="page"/>
      </w:r>
      <w:r w:rsidR="00364DBC">
        <w:rPr>
          <w:rFonts w:ascii="Times New Roman" w:hAnsi="Times New Roman"/>
        </w:rPr>
        <w:lastRenderedPageBreak/>
        <w:t xml:space="preserve">Приложение № 5 </w:t>
      </w:r>
    </w:p>
    <w:p w:rsidR="00364DBC" w:rsidRDefault="00364DBC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b/>
        </w:rPr>
      </w:pPr>
    </w:p>
    <w:p w:rsidR="005D0D76" w:rsidRPr="005D0D76" w:rsidRDefault="005D0D76" w:rsidP="00364DBC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A42675" w:rsidP="005D0D76">
      <w:pPr>
        <w:pStyle w:val="a3"/>
        <w:jc w:val="right"/>
      </w:pPr>
      <w:r>
        <w:t xml:space="preserve">       </w:t>
      </w:r>
      <w:r w:rsidR="005D0D76"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  <w:r w:rsidRPr="005D0D76">
        <w:t xml:space="preserve"> 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3D77EC">
      <w:pPr>
        <w:ind w:firstLine="0"/>
        <w:rPr>
          <w:rFonts w:ascii="Times New Roman" w:hAnsi="Times New Roman"/>
        </w:rPr>
      </w:pPr>
    </w:p>
    <w:p w:rsidR="00061FE5" w:rsidRDefault="00061FE5" w:rsidP="00DB12F9">
      <w:pPr>
        <w:ind w:left="4536"/>
        <w:rPr>
          <w:rFonts w:ascii="Times New Roman" w:hAnsi="Times New Roman"/>
        </w:rPr>
      </w:pPr>
    </w:p>
    <w:p w:rsidR="00061FE5" w:rsidRDefault="00061FE5" w:rsidP="00DB12F9">
      <w:pPr>
        <w:ind w:left="4536"/>
        <w:rPr>
          <w:rFonts w:ascii="Times New Roman" w:hAnsi="Times New Roman"/>
        </w:rPr>
      </w:pPr>
    </w:p>
    <w:p w:rsidR="00DB12F9" w:rsidRDefault="00DB12F9" w:rsidP="00DB12F9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>Приложение</w:t>
      </w:r>
      <w:r w:rsidR="009E7C4E">
        <w:rPr>
          <w:rFonts w:ascii="Times New Roman" w:hAnsi="Times New Roman"/>
        </w:rPr>
        <w:t xml:space="preserve"> № 6</w:t>
      </w:r>
      <w:r>
        <w:rPr>
          <w:rFonts w:ascii="Times New Roman" w:hAnsi="Times New Roman"/>
        </w:rPr>
        <w:t xml:space="preserve"> </w:t>
      </w:r>
    </w:p>
    <w:p w:rsidR="00DB12F9" w:rsidRDefault="00DB12F9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061FE5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</w:p>
    <w:p w:rsidR="00061FE5" w:rsidRPr="005D0D76" w:rsidRDefault="00061FE5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spellEnd"/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нения действия/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используемая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Пилотный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субъект/ПГС</w:t>
            </w:r>
          </w:p>
          <w:p w:rsidR="00B63FD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d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d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Default="00EA27F5" w:rsidP="00EA27F5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061FE5" w:rsidRDefault="00061FE5" w:rsidP="003D77EC">
      <w:pPr>
        <w:ind w:left="4536"/>
        <w:rPr>
          <w:rFonts w:ascii="Times New Roman" w:hAnsi="Times New Roman"/>
        </w:rPr>
      </w:pPr>
    </w:p>
    <w:p w:rsidR="00061FE5" w:rsidRDefault="00061FE5" w:rsidP="003D77EC">
      <w:pPr>
        <w:ind w:left="4536"/>
        <w:rPr>
          <w:rFonts w:ascii="Times New Roman" w:hAnsi="Times New Roman"/>
        </w:rPr>
      </w:pPr>
    </w:p>
    <w:p w:rsidR="003D77EC" w:rsidRDefault="003D77EC" w:rsidP="003D77EC">
      <w:pPr>
        <w:ind w:left="4536"/>
        <w:rPr>
          <w:rFonts w:ascii="Times New Roman" w:eastAsia="Calibri" w:hAnsi="Times New Roman"/>
          <w:bCs/>
        </w:rPr>
      </w:pPr>
      <w:r>
        <w:rPr>
          <w:rFonts w:ascii="Times New Roman" w:hAnsi="Times New Roman"/>
        </w:rPr>
        <w:lastRenderedPageBreak/>
        <w:t xml:space="preserve">Приложение № 7 </w:t>
      </w:r>
    </w:p>
    <w:p w:rsidR="003D77EC" w:rsidRDefault="003D77EC" w:rsidP="00061FE5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</w:t>
      </w:r>
      <w:r w:rsidR="00061FE5">
        <w:rPr>
          <w:rFonts w:ascii="Times New Roman" w:hAnsi="Times New Roman"/>
          <w:bCs/>
        </w:rPr>
        <w:t>Административному регламенту</w:t>
      </w:r>
    </w:p>
    <w:p w:rsidR="005D0D76" w:rsidRPr="005D0D76" w:rsidRDefault="003D77EC" w:rsidP="003D77EC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Cs/>
        </w:rPr>
        <w:t xml:space="preserve">       </w:t>
      </w:r>
      <w:r w:rsidR="00061FE5">
        <w:rPr>
          <w:rFonts w:ascii="Times New Roman" w:hAnsi="Times New Roman"/>
          <w:bCs/>
        </w:rPr>
        <w:t xml:space="preserve">           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d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9F" w:rsidRDefault="004D2F9F" w:rsidP="00F2537C">
      <w:r>
        <w:separator/>
      </w:r>
    </w:p>
  </w:endnote>
  <w:endnote w:type="continuationSeparator" w:id="0">
    <w:p w:rsidR="004D2F9F" w:rsidRDefault="004D2F9F" w:rsidP="00F2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9F" w:rsidRDefault="004D2F9F" w:rsidP="00F2537C">
      <w:r>
        <w:separator/>
      </w:r>
    </w:p>
  </w:footnote>
  <w:footnote w:type="continuationSeparator" w:id="0">
    <w:p w:rsidR="004D2F9F" w:rsidRDefault="004D2F9F" w:rsidP="00F2537C">
      <w:r>
        <w:continuationSeparator/>
      </w:r>
    </w:p>
  </w:footnote>
  <w:footnote w:id="1">
    <w:p w:rsidR="000D2DED" w:rsidRPr="00FA0EB0" w:rsidRDefault="000D2DED" w:rsidP="00F2537C">
      <w:pPr>
        <w:pStyle w:val="af1"/>
        <w:rPr>
          <w:rFonts w:ascii="Times New Roman" w:hAnsi="Times New Roman" w:cs="Times New Roman"/>
        </w:rPr>
      </w:pPr>
      <w:r w:rsidRPr="00FA0EB0">
        <w:rPr>
          <w:rStyle w:val="af3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21ACC"/>
    <w:rsid w:val="000410C2"/>
    <w:rsid w:val="00047E4C"/>
    <w:rsid w:val="00061FE5"/>
    <w:rsid w:val="000769C1"/>
    <w:rsid w:val="00076DC7"/>
    <w:rsid w:val="00096256"/>
    <w:rsid w:val="000A0F8F"/>
    <w:rsid w:val="000B58F4"/>
    <w:rsid w:val="000D2DED"/>
    <w:rsid w:val="000E15CB"/>
    <w:rsid w:val="000E1FF0"/>
    <w:rsid w:val="000E44D8"/>
    <w:rsid w:val="000F4A0D"/>
    <w:rsid w:val="00100305"/>
    <w:rsid w:val="00100BE5"/>
    <w:rsid w:val="00103EF0"/>
    <w:rsid w:val="00104C36"/>
    <w:rsid w:val="00105E68"/>
    <w:rsid w:val="00124806"/>
    <w:rsid w:val="001655EB"/>
    <w:rsid w:val="00167419"/>
    <w:rsid w:val="001756CC"/>
    <w:rsid w:val="001827EC"/>
    <w:rsid w:val="00184501"/>
    <w:rsid w:val="00187253"/>
    <w:rsid w:val="00191615"/>
    <w:rsid w:val="001A4968"/>
    <w:rsid w:val="001B189D"/>
    <w:rsid w:val="001B1E94"/>
    <w:rsid w:val="001B7995"/>
    <w:rsid w:val="001C3260"/>
    <w:rsid w:val="001C7F9F"/>
    <w:rsid w:val="001E4702"/>
    <w:rsid w:val="001E74C7"/>
    <w:rsid w:val="001F26E8"/>
    <w:rsid w:val="001F71DD"/>
    <w:rsid w:val="00205D9B"/>
    <w:rsid w:val="002076BA"/>
    <w:rsid w:val="0021046C"/>
    <w:rsid w:val="00212C2E"/>
    <w:rsid w:val="00215C50"/>
    <w:rsid w:val="002349F5"/>
    <w:rsid w:val="00236AD9"/>
    <w:rsid w:val="002404D8"/>
    <w:rsid w:val="00240B3C"/>
    <w:rsid w:val="002509F3"/>
    <w:rsid w:val="00286EF1"/>
    <w:rsid w:val="002B0E3B"/>
    <w:rsid w:val="002B3D88"/>
    <w:rsid w:val="002C7624"/>
    <w:rsid w:val="002D128F"/>
    <w:rsid w:val="002D3DA8"/>
    <w:rsid w:val="002D5716"/>
    <w:rsid w:val="002E7DEE"/>
    <w:rsid w:val="002F4EF4"/>
    <w:rsid w:val="002F67BB"/>
    <w:rsid w:val="002F768E"/>
    <w:rsid w:val="00317950"/>
    <w:rsid w:val="003271E1"/>
    <w:rsid w:val="00327994"/>
    <w:rsid w:val="00330609"/>
    <w:rsid w:val="00356A90"/>
    <w:rsid w:val="003615BE"/>
    <w:rsid w:val="00364DBC"/>
    <w:rsid w:val="00376232"/>
    <w:rsid w:val="003A141F"/>
    <w:rsid w:val="003A4AFF"/>
    <w:rsid w:val="003A4B64"/>
    <w:rsid w:val="003A6EA2"/>
    <w:rsid w:val="003B4E63"/>
    <w:rsid w:val="003D5464"/>
    <w:rsid w:val="003D77EC"/>
    <w:rsid w:val="003E783F"/>
    <w:rsid w:val="00416AC1"/>
    <w:rsid w:val="0045245E"/>
    <w:rsid w:val="00455B0C"/>
    <w:rsid w:val="00455FC8"/>
    <w:rsid w:val="00456362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2F9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38C5"/>
    <w:rsid w:val="00527931"/>
    <w:rsid w:val="005401BD"/>
    <w:rsid w:val="005568BC"/>
    <w:rsid w:val="00590A90"/>
    <w:rsid w:val="005B0D44"/>
    <w:rsid w:val="005B3B48"/>
    <w:rsid w:val="005C3796"/>
    <w:rsid w:val="005C7535"/>
    <w:rsid w:val="005D0CD9"/>
    <w:rsid w:val="005D0D76"/>
    <w:rsid w:val="005E1F5B"/>
    <w:rsid w:val="005E552B"/>
    <w:rsid w:val="005F75B0"/>
    <w:rsid w:val="00621192"/>
    <w:rsid w:val="00630503"/>
    <w:rsid w:val="00637A51"/>
    <w:rsid w:val="0067610E"/>
    <w:rsid w:val="006852E6"/>
    <w:rsid w:val="00686542"/>
    <w:rsid w:val="006A1426"/>
    <w:rsid w:val="006B7777"/>
    <w:rsid w:val="006C5B6C"/>
    <w:rsid w:val="006D0275"/>
    <w:rsid w:val="006D5F37"/>
    <w:rsid w:val="006E04DF"/>
    <w:rsid w:val="00701AB8"/>
    <w:rsid w:val="007043B2"/>
    <w:rsid w:val="007218A7"/>
    <w:rsid w:val="00744AFD"/>
    <w:rsid w:val="0075123A"/>
    <w:rsid w:val="007570EA"/>
    <w:rsid w:val="00761028"/>
    <w:rsid w:val="00786E9A"/>
    <w:rsid w:val="007D32AA"/>
    <w:rsid w:val="007D338B"/>
    <w:rsid w:val="007D64B4"/>
    <w:rsid w:val="007E215D"/>
    <w:rsid w:val="007E3391"/>
    <w:rsid w:val="007F2842"/>
    <w:rsid w:val="00807D52"/>
    <w:rsid w:val="00812CAF"/>
    <w:rsid w:val="0081528E"/>
    <w:rsid w:val="00821B42"/>
    <w:rsid w:val="008254D9"/>
    <w:rsid w:val="008276F1"/>
    <w:rsid w:val="00842EE7"/>
    <w:rsid w:val="00845909"/>
    <w:rsid w:val="00856378"/>
    <w:rsid w:val="00864ABB"/>
    <w:rsid w:val="00875B14"/>
    <w:rsid w:val="008854A5"/>
    <w:rsid w:val="00891DA5"/>
    <w:rsid w:val="008A26E8"/>
    <w:rsid w:val="008B2AA2"/>
    <w:rsid w:val="008B3A5E"/>
    <w:rsid w:val="008C0FF5"/>
    <w:rsid w:val="008C4BA1"/>
    <w:rsid w:val="008C6C87"/>
    <w:rsid w:val="008D126D"/>
    <w:rsid w:val="008D2A25"/>
    <w:rsid w:val="008D419C"/>
    <w:rsid w:val="008E3F57"/>
    <w:rsid w:val="008E7EF3"/>
    <w:rsid w:val="008F3016"/>
    <w:rsid w:val="00953337"/>
    <w:rsid w:val="00961870"/>
    <w:rsid w:val="00980997"/>
    <w:rsid w:val="00990A86"/>
    <w:rsid w:val="00995718"/>
    <w:rsid w:val="009A57FA"/>
    <w:rsid w:val="009B2A37"/>
    <w:rsid w:val="009C0000"/>
    <w:rsid w:val="009C691B"/>
    <w:rsid w:val="009D41B2"/>
    <w:rsid w:val="009D5821"/>
    <w:rsid w:val="009E7C4E"/>
    <w:rsid w:val="009F741D"/>
    <w:rsid w:val="00A007C5"/>
    <w:rsid w:val="00A06CC4"/>
    <w:rsid w:val="00A23FF2"/>
    <w:rsid w:val="00A26ADC"/>
    <w:rsid w:val="00A27F16"/>
    <w:rsid w:val="00A42675"/>
    <w:rsid w:val="00A44880"/>
    <w:rsid w:val="00A51ADC"/>
    <w:rsid w:val="00A606B1"/>
    <w:rsid w:val="00A637C0"/>
    <w:rsid w:val="00A923AF"/>
    <w:rsid w:val="00A94DDC"/>
    <w:rsid w:val="00AB0863"/>
    <w:rsid w:val="00AB5CF0"/>
    <w:rsid w:val="00AC31AE"/>
    <w:rsid w:val="00AC62E1"/>
    <w:rsid w:val="00AF44A7"/>
    <w:rsid w:val="00B050CF"/>
    <w:rsid w:val="00B5055C"/>
    <w:rsid w:val="00B53239"/>
    <w:rsid w:val="00B546F7"/>
    <w:rsid w:val="00B63FD6"/>
    <w:rsid w:val="00B657FA"/>
    <w:rsid w:val="00B71E5C"/>
    <w:rsid w:val="00B75D88"/>
    <w:rsid w:val="00B7642B"/>
    <w:rsid w:val="00B819E3"/>
    <w:rsid w:val="00B90005"/>
    <w:rsid w:val="00B90FE3"/>
    <w:rsid w:val="00B951A4"/>
    <w:rsid w:val="00BA20DF"/>
    <w:rsid w:val="00BA2A4C"/>
    <w:rsid w:val="00BA7ECF"/>
    <w:rsid w:val="00BC177E"/>
    <w:rsid w:val="00BD06A1"/>
    <w:rsid w:val="00BF5EA5"/>
    <w:rsid w:val="00C271C1"/>
    <w:rsid w:val="00C36ACC"/>
    <w:rsid w:val="00C57EC9"/>
    <w:rsid w:val="00C63793"/>
    <w:rsid w:val="00C672B2"/>
    <w:rsid w:val="00CA373F"/>
    <w:rsid w:val="00CA450A"/>
    <w:rsid w:val="00CB3ED7"/>
    <w:rsid w:val="00CC3C1D"/>
    <w:rsid w:val="00CD2D55"/>
    <w:rsid w:val="00CD5FF3"/>
    <w:rsid w:val="00CE032C"/>
    <w:rsid w:val="00CE66EA"/>
    <w:rsid w:val="00CF0636"/>
    <w:rsid w:val="00CF184D"/>
    <w:rsid w:val="00CF6105"/>
    <w:rsid w:val="00D10305"/>
    <w:rsid w:val="00D1621B"/>
    <w:rsid w:val="00D24709"/>
    <w:rsid w:val="00D3692F"/>
    <w:rsid w:val="00D42193"/>
    <w:rsid w:val="00D67456"/>
    <w:rsid w:val="00D70AC1"/>
    <w:rsid w:val="00D7763C"/>
    <w:rsid w:val="00D77993"/>
    <w:rsid w:val="00DB12F9"/>
    <w:rsid w:val="00DB39CD"/>
    <w:rsid w:val="00DC2977"/>
    <w:rsid w:val="00DC4A9A"/>
    <w:rsid w:val="00DE4CCD"/>
    <w:rsid w:val="00DF2A35"/>
    <w:rsid w:val="00DF459B"/>
    <w:rsid w:val="00DF7510"/>
    <w:rsid w:val="00E05DF8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2537C"/>
    <w:rsid w:val="00F5095C"/>
    <w:rsid w:val="00F61E2A"/>
    <w:rsid w:val="00F64B23"/>
    <w:rsid w:val="00F66579"/>
    <w:rsid w:val="00F81205"/>
    <w:rsid w:val="00F93E4D"/>
    <w:rsid w:val="00FA0898"/>
    <w:rsid w:val="00FA2BB0"/>
    <w:rsid w:val="00FA2C73"/>
    <w:rsid w:val="00FC5047"/>
    <w:rsid w:val="00FD3158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7D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D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Основной текст5"/>
    <w:basedOn w:val="a"/>
    <w:rsid w:val="002D3DA8"/>
    <w:pPr>
      <w:widowControl w:val="0"/>
      <w:shd w:val="clear" w:color="auto" w:fill="FFFFFF"/>
      <w:spacing w:line="322" w:lineRule="exact"/>
      <w:ind w:hanging="1300"/>
      <w:jc w:val="center"/>
    </w:pPr>
    <w:rPr>
      <w:rFonts w:ascii="Times New Roman" w:hAnsi="Times New Roman"/>
      <w:spacing w:val="6"/>
      <w:sz w:val="25"/>
      <w:szCs w:val="25"/>
    </w:rPr>
  </w:style>
  <w:style w:type="paragraph" w:styleId="af1">
    <w:name w:val="footnote text"/>
    <w:basedOn w:val="a"/>
    <w:link w:val="af2"/>
    <w:uiPriority w:val="99"/>
    <w:semiHidden/>
    <w:unhideWhenUsed/>
    <w:rsid w:val="00F2537C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F2537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5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priemnaa" TargetMode="External"/><Relationship Id="rId14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D1B8-CAA5-4AEF-83CC-7DDF4E53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47</Pages>
  <Words>15234</Words>
  <Characters>86839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21</cp:revision>
  <cp:lastPrinted>2023-04-11T13:40:00Z</cp:lastPrinted>
  <dcterms:created xsi:type="dcterms:W3CDTF">2023-08-23T06:45:00Z</dcterms:created>
  <dcterms:modified xsi:type="dcterms:W3CDTF">2023-09-01T05:14:00Z</dcterms:modified>
</cp:coreProperties>
</file>