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0"/>
        <w:contextualSpacing w:val="1"/>
        <w:jc w:val="center"/>
        <w:rPr>
          <w:b w:val="1"/>
        </w:rPr>
      </w:pPr>
      <w:r>
        <w:rPr>
          <w:b w:val="1"/>
        </w:rPr>
        <w:t>О ПРАКТИКЕ ПРОТИВОДЕЙСТВИЯ ПРЕСТУПЛЕНИЯМ, СОВЕРШАЕМЫМ С ИСПОЛЬЗОВАНИЕМ ИНФОРМАЦИОННО-ТЕЛЕКОММУНИКАЦИОННЫХ ТЕХНОЛОГИЙ</w:t>
      </w:r>
    </w:p>
    <w:p w14:paraId="03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</w:p>
    <w:p w14:paraId="04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В прокуратуре Российской Федерации на постоянной основе анализируется практика противодействия использованию специальных аппаратно-программных комплексов передачи голосового трафика через сеть «Интернет» в GSM-сеть (GSM-шлюзы</w:t>
      </w:r>
      <w:r>
        <w:rPr>
          <w:b w:val="0"/>
        </w:rPr>
        <w:t>, сим-боксы</w:t>
      </w:r>
      <w:r>
        <w:rPr>
          <w:b w:val="0"/>
        </w:rPr>
        <w:t>) в преступных целях.</w:t>
      </w:r>
      <w:r>
        <w:br/>
      </w:r>
      <w:r>
        <w:rPr>
          <w:b w:val="0"/>
        </w:rPr>
        <w:tab/>
      </w:r>
      <w:r>
        <w:rPr>
          <w:b w:val="0"/>
        </w:rPr>
        <w:t>GSM шлюз - это устройство для перевода телефонных звонков, коротких сообщений (SMS) из сети «Интернет» в GSM-сеть и обратно.</w:t>
      </w:r>
    </w:p>
    <w:p w14:paraId="05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Сим-бокс (сим-банк) - это устройство виртуализации сим-карт, представляющее собой набор ячеек для сим-карт, объединенных в одном корпусе с встроенной сетевой картой для доступа в сеть «Интернет». В сим-боксе могут быть установлены сим-карты различных операторов сотовой связи, что позволяет ему работать с несколькими GSM-шлюзами, расположенными в разных местах.</w:t>
      </w:r>
    </w:p>
    <w:p w14:paraId="06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 </w:t>
      </w:r>
      <w:r>
        <w:rPr>
          <w:b w:val="0"/>
        </w:rPr>
        <w:t>Размещение на территории страны сим-боксов, которые встроены в преступную инфраструктуру колл-центров и удаленно используются злоумышленниками для совершения криминальных посягательств, способствует распространению телефонного мошенничества, наносит многомиллионный ущерб гражданам, а преступный доход от такого рода преступлений может быть направлен на цели, связанные с причинением вреда интересам государства и общества.</w:t>
      </w:r>
    </w:p>
    <w:p w14:paraId="07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Основной категорией лиц, вовлекаемых в преступную деятельность, являются граждане моложе 30 лет, зачастую - несовершеннолетние, которые обладают первоначальными навыками работы с компьютерной техникой и стремятся к легкому заработку, не задумываясь о правовых последствиях своего участия в работе криминального кол-центра.</w:t>
      </w:r>
    </w:p>
    <w:p w14:paraId="08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Для пресечения работы мошеннического оборудования МВД России разработаны организационно-методические материалы, которые доводятся до сведения территориальных органов внутренних дел</w:t>
      </w:r>
      <w:r>
        <w:rPr>
          <w:b w:val="0"/>
        </w:rPr>
        <w:t>. Их реализация позволила только за второе полугодие 2025 года текущего года изъять более 900 сим-банков и около 300 тыс. сим-карт различных операторов сотовой связи. По информации Банка России, во время указанных мероприятий отмечалось снижение количества обращений граждан по фактам проведения операций без согласия клиента.</w:t>
      </w:r>
    </w:p>
    <w:p w14:paraId="09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Несмотря на принимаемые меры, на территории страны число уголовно наказуемых деяний в сфере информационно-телекоммуникационных технологий, совершенных с использованием средств мобильной связи, всегда возрастает, что свидетельствует о недостаточности проводимой работы по пресечению преступной деятельности организаторов и иных участников криминальной IT-инфраструктуры.</w:t>
      </w:r>
    </w:p>
    <w:p w14:paraId="0A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Органами внутренних дел документирование и доказывание фактов вовлеченности в совершение преступлений лиц, администрировавших работу сим-боксов, не налажены. Деятельность оперативных подразделений в основном акцентирована на установлении местонахождения технических средств. Не уделяется достаточного внимания выявлению организаторов преступлений, не принимаются меры к незамедлительному осмотру переписки в мессенджерах, содержащей указания участникам преступной схемы. Путем проведения допросов и очных ставок по горячим следам не закрепляются имеющие доказательственное значение показания. С участием специалистов не устанавливаются все абонентские номера сим-карт, которые были подключены к сим-боксам с момента начала их эксплуатации в преступных целях. В результате операторы такого оборудования привлекаются к уголовной ответственности за соучастие в мошеннических действиях в единичных случаях.</w:t>
      </w:r>
    </w:p>
    <w:p w14:paraId="0B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Например, в Воронежской области по уголовному делу о крупном телефонном мошенничестве своевременная фиксация доказательств позволила подтвердить осведомленность несовершеннолетнего Т., разместившего по указанию куратора соответствующее оборудование в нескольких съемных квартирах, расположенных в городах Воронеже и Старый Оскол, об оказании технической помощи мошенническому колл-центру. Действуя из корыстных побуждений, получая от организатора по 60 тыс. рублей в сутки (всего около 8 млн. рублей), подросток вовлек в преступную деятельность двоих знакомых, совместно с которыми обеспечивал бесперебойную работу GSM-шлюзов и сим-боксов, а также принимал меры к конспирации.</w:t>
      </w:r>
    </w:p>
    <w:p w14:paraId="0C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Правоохранительными органами г. Санкт-Петербурга изобличены участники преступной группы, которые обманным путем завладели денежными средствами пяти потерпевших на общую сумму более 17 млн. рублей. Во исполнение единого преступного умысла данные лица подыскали более 4 тыс. сим-карт операторов связи и разместили по месту жительства технические средства, позволявшие совершать мошеннические звонки.</w:t>
      </w:r>
    </w:p>
    <w:p w14:paraId="0D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В обоих случаях органами предварительного следствия соучастникам предъявлено обвинение по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статье 159</w:t>
      </w:r>
      <w:r>
        <w:rPr>
          <w:b w:val="0"/>
        </w:rPr>
        <w:t xml:space="preserve"> </w:t>
      </w:r>
      <w:r>
        <w:rPr>
          <w:b w:val="0"/>
        </w:rPr>
        <w:t>Уголовного кодекса Российской Федерации (далее - УК РФ).</w:t>
      </w:r>
    </w:p>
    <w:p w14:paraId="0E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Неоднозначно складывается правоприменительная практика при рассмотрении судами уголовных дел о преступлениях, предусмотренных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статьей 187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У</w:t>
      </w:r>
      <w:r>
        <w:rPr>
          <w:b w:val="0"/>
        </w:rPr>
        <w:t>К РФ, по которым нередко в качестве виновных выступают лица, лишь предоставившие свою банковскую карту (реквизиты электронного средства платежа) третьим лицам и не осведомленные о целях ее дальнейшего использования.</w:t>
      </w:r>
    </w:p>
    <w:p w14:paraId="0F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Для квалификации действий по данной норме требуется установление преднамеренного неправомерного предназначения банковских карт, электронных средств платежа и электронных носителей информации, которые по своим свойствам (функционалу) позволяют без ведома владельца счета (клиента банка) и (или) в обход используемых банком систем идентификации клиента и (или) защиты компьютерной информации осуществлять прием, выдачу и перевод денежных средств.</w:t>
      </w:r>
    </w:p>
    <w:p w14:paraId="10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Высокая распространенность «серых» сим-карт требует повышенного внимания к соблюдению операторами связи норм об обязательной проверке сведений об абонентах. Вместе с тем органами внутренних дел сведения об использованных в сим-боксах сим-картах в органы Роскомнадзора для принятия мер административного воздействия не направляются. В свою очередь контролирующим орган</w:t>
      </w:r>
      <w:r>
        <w:rPr>
          <w:b w:val="0"/>
          <w:color w:val="000000"/>
          <w:u w:val="none"/>
        </w:rPr>
        <w:t>ом системные меры для привлечения недобросовестных операторов связи к ответственности по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части 5 статьи 13.29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Кодекса Российской Федерации об административных правонарушениях не принимаются.</w:t>
      </w:r>
    </w:p>
    <w:p w14:paraId="11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Наряду с этим отсутствует единообразная практика выявления преступлений, связанных с неправомерным доступом к охраняемой законом компьютерной информации.</w:t>
      </w:r>
    </w:p>
    <w:p w14:paraId="12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П</w:t>
      </w:r>
      <w:r>
        <w:rPr>
          <w:b w:val="0"/>
        </w:rPr>
        <w:t>ри оценке деяния как уголовно наказуемого следует учитывать, что состав преступления, предусмотренного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статьей 272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У</w:t>
      </w:r>
      <w:r>
        <w:rPr>
          <w:b w:val="0"/>
        </w:rPr>
        <w:t>К РФ, носит материальный характер и является оконченным с момента наступления общественно опасных последствий (одного или нескольких) в виде уничтожения, блокирования, модификации либо копирования компьютерной информации.</w:t>
      </w:r>
    </w:p>
    <w:p w14:paraId="13000000">
      <w:pPr>
        <w:widowControl w:val="1"/>
        <w:spacing w:line="360" w:lineRule="auto"/>
        <w:ind w:firstLine="0" w:right="-285"/>
        <w:rPr>
          <w:color w:val="000000"/>
        </w:rPr>
      </w:pPr>
    </w:p>
    <w:p w14:paraId="14000000">
      <w:pPr>
        <w:widowControl w:val="1"/>
        <w:spacing w:line="360" w:lineRule="auto"/>
        <w:ind w:firstLine="0" w:right="-285"/>
        <w:rPr>
          <w:color w:val="000000"/>
        </w:rPr>
      </w:pPr>
    </w:p>
    <w:p w14:paraId="15000000">
      <w:pPr>
        <w:widowControl w:val="1"/>
        <w:spacing w:line="360" w:lineRule="auto"/>
        <w:ind w:firstLine="0" w:right="-285"/>
        <w:rPr>
          <w:color w:val="000000"/>
        </w:rPr>
      </w:pPr>
    </w:p>
    <w:p w14:paraId="16000000">
      <w:pPr>
        <w:widowControl w:val="1"/>
        <w:spacing w:line="360" w:lineRule="auto"/>
        <w:ind/>
        <w:contextualSpacing w:val="1"/>
      </w:pPr>
    </w:p>
    <w:sectPr>
      <w:headerReference r:id="rId1" w:type="default"/>
      <w:pgSz w:h="16838" w:orient="portrait" w:w="11906"/>
      <w:pgMar w:bottom="1134" w:footer="709" w:gutter="0" w:header="709" w:left="1418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contextualSpacing w:val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36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rPr>
      <w:sz w:val="24"/>
    </w:rPr>
  </w:style>
  <w:style w:styleId="Style_10_ch" w:type="character">
    <w:name w:val="Normal (Web)"/>
    <w:basedOn w:val="Style_2_ch"/>
    <w:link w:val="Style_10"/>
    <w:rPr>
      <w:sz w:val="24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footnote reference"/>
    <w:basedOn w:val="Style_7"/>
    <w:link w:val="Style_12_ch"/>
    <w:rPr>
      <w:vertAlign w:val="superscript"/>
    </w:rPr>
  </w:style>
  <w:style w:styleId="Style_12_ch" w:type="character">
    <w:name w:val="footnote reference"/>
    <w:basedOn w:val="Style_7_ch"/>
    <w:link w:val="Style_12"/>
    <w:rPr>
      <w:vertAlign w:val="superscript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7"/>
    <w:link w:val="Style_16_ch"/>
    <w:rPr>
      <w:color w:themeColor="hyperlink" w:val="0563C1"/>
      <w:u w:val="single"/>
    </w:rPr>
  </w:style>
  <w:style w:styleId="Style_16_ch" w:type="character">
    <w:name w:val="Hyperlink"/>
    <w:basedOn w:val="Style_7_ch"/>
    <w:link w:val="Style_16"/>
    <w:rPr>
      <w:color w:themeColor="hyperlink" w:val="0563C1"/>
      <w:u w:val="single"/>
    </w:rPr>
  </w:style>
  <w:style w:styleId="Style_17" w:type="paragraph">
    <w:name w:val="Footnote"/>
    <w:basedOn w:val="Style_2"/>
    <w:link w:val="Style_17_ch"/>
    <w:rPr>
      <w:sz w:val="20"/>
    </w:rPr>
  </w:style>
  <w:style w:styleId="Style_17_ch" w:type="character">
    <w:name w:val="Footnote"/>
    <w:basedOn w:val="Style_2_ch"/>
    <w:link w:val="Style_17"/>
    <w:rPr>
      <w:sz w:val="20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Основной текст + 14 pt"/>
    <w:link w:val="Style_23_ch"/>
    <w:rPr>
      <w:rFonts w:ascii="Times New Roman" w:hAnsi="Times New Roman"/>
      <w:spacing w:val="0"/>
      <w:sz w:val="28"/>
    </w:rPr>
  </w:style>
  <w:style w:styleId="Style_23_ch" w:type="character">
    <w:name w:val="Основной текст + 14 pt"/>
    <w:link w:val="Style_23"/>
    <w:rPr>
      <w:rFonts w:ascii="Times New Roman" w:hAnsi="Times New Roman"/>
      <w:spacing w:val="0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List Paragraph"/>
    <w:basedOn w:val="Style_2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2024-07-24T08:53:00Z</dcterms:created>
  <dcterms:modified xsi:type="dcterms:W3CDTF">2026-03-19T16:19:04Z</dcterms:modified>
</cp:coreProperties>
</file>